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240" w:lineRule="atLeast"/>
        <w:ind w:firstLine="0" w:firstLineChars="0"/>
        <w:jc w:val="center"/>
        <w:rPr>
          <w:rFonts w:hint="eastAsia" w:ascii="黑体" w:hAnsi="黑体" w:eastAsia="黑体" w:cs="黑体"/>
          <w:bCs/>
          <w:sz w:val="44"/>
          <w:szCs w:val="44"/>
        </w:rPr>
      </w:pPr>
      <w:r>
        <w:rPr>
          <w:rFonts w:hint="eastAsia" w:ascii="黑体" w:hAnsi="黑体" w:eastAsia="黑体" w:cs="黑体"/>
          <w:bCs/>
          <w:sz w:val="44"/>
          <w:szCs w:val="44"/>
        </w:rPr>
        <w:t>沙湾市</w:t>
      </w:r>
      <w:r>
        <w:rPr>
          <w:rFonts w:hint="eastAsia" w:ascii="黑体" w:hAnsi="黑体" w:eastAsia="黑体" w:cs="黑体"/>
          <w:bCs/>
          <w:sz w:val="44"/>
          <w:szCs w:val="44"/>
          <w:lang w:eastAsia="zh-CN"/>
        </w:rPr>
        <w:t>卫生计生综合监督执法局</w:t>
      </w:r>
      <w:r>
        <w:rPr>
          <w:rFonts w:hint="eastAsia" w:ascii="黑体" w:hAnsi="黑体" w:eastAsia="黑体" w:cs="黑体"/>
          <w:bCs/>
          <w:sz w:val="44"/>
          <w:szCs w:val="44"/>
        </w:rPr>
        <w:t>2023年中央及自治区基本公共卫生服务项目支出</w:t>
      </w:r>
    </w:p>
    <w:p>
      <w:pPr>
        <w:spacing w:line="240" w:lineRule="atLeast"/>
        <w:ind w:firstLine="0" w:firstLineChars="0"/>
        <w:jc w:val="center"/>
        <w:rPr>
          <w:rFonts w:hint="eastAsia" w:ascii="黑体" w:hAnsi="黑体" w:eastAsia="黑体" w:cs="黑体"/>
          <w:bCs/>
          <w:sz w:val="44"/>
          <w:szCs w:val="44"/>
        </w:rPr>
      </w:pPr>
      <w:r>
        <w:rPr>
          <w:rFonts w:hint="eastAsia" w:ascii="黑体" w:hAnsi="黑体" w:eastAsia="黑体" w:cs="黑体"/>
          <w:bCs/>
          <w:sz w:val="44"/>
          <w:szCs w:val="44"/>
        </w:rPr>
        <w:t>绩效评价报告</w:t>
      </w:r>
    </w:p>
    <w:p>
      <w:pPr>
        <w:spacing w:line="240" w:lineRule="atLeast"/>
        <w:ind w:firstLine="960"/>
        <w:jc w:val="center"/>
        <w:rPr>
          <w:rFonts w:ascii="方正小标宋简体" w:hAnsi="黑体" w:eastAsia="方正小标宋简体" w:cs="黑体"/>
          <w:bCs/>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华文中宋" w:hAnsi="华文中宋" w:eastAsia="华文中宋" w:cs="宋体"/>
          <w:b/>
          <w:kern w:val="0"/>
          <w:sz w:val="52"/>
          <w:szCs w:val="52"/>
        </w:rPr>
      </w:pPr>
    </w:p>
    <w:p>
      <w:pPr>
        <w:spacing w:line="540" w:lineRule="exact"/>
        <w:jc w:val="both"/>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2023年中央基本公共卫生服务补助资金项目</w:t>
      </w:r>
    </w:p>
    <w:p>
      <w:pPr>
        <w:spacing w:line="540" w:lineRule="exact"/>
        <w:rPr>
          <w:rFonts w:ascii="楷体" w:hAnsi="楷体" w:eastAsia="楷体"/>
          <w:b/>
          <w:bCs/>
          <w:spacing w:val="-4"/>
          <w:sz w:val="32"/>
          <w:szCs w:val="32"/>
        </w:rPr>
      </w:pPr>
      <w:r>
        <w:rPr>
          <w:rFonts w:hint="eastAsia" w:hAnsi="宋体" w:eastAsia="仿宋_GB2312" w:cs="宋体"/>
          <w:kern w:val="0"/>
          <w:sz w:val="36"/>
          <w:szCs w:val="36"/>
        </w:rPr>
        <w:t>实施单位（公章）：</w:t>
      </w:r>
      <w:r>
        <w:rPr>
          <w:rStyle w:val="18"/>
          <w:rFonts w:hint="eastAsia" w:ascii="楷体" w:hAnsi="楷体" w:eastAsia="楷体"/>
          <w:spacing w:val="-4"/>
          <w:sz w:val="28"/>
          <w:szCs w:val="28"/>
        </w:rPr>
        <w:t>沙湾市卫生计生综合监督执法局</w:t>
      </w:r>
    </w:p>
    <w:p>
      <w:pPr>
        <w:spacing w:line="540" w:lineRule="exact"/>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沙湾市卫生计生综合监督执法局</w:t>
      </w:r>
    </w:p>
    <w:p>
      <w:pPr>
        <w:spacing w:line="540" w:lineRule="exact"/>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杨宏伟</w:t>
      </w:r>
    </w:p>
    <w:p>
      <w:pPr>
        <w:spacing w:line="540" w:lineRule="exact"/>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2024年05月14日</w:t>
      </w:r>
    </w:p>
    <w:p>
      <w:pPr>
        <w:spacing w:line="700" w:lineRule="exact"/>
        <w:ind w:firstLine="708" w:firstLineChars="236"/>
        <w:jc w:val="left"/>
        <w:rPr>
          <w:rFonts w:hAnsi="宋体" w:eastAsia="仿宋_GB2312" w:cs="宋体"/>
          <w:kern w:val="0"/>
          <w:sz w:val="30"/>
          <w:szCs w:val="30"/>
        </w:rPr>
      </w:pPr>
    </w:p>
    <w:p>
      <w:pPr>
        <w:spacing w:line="700" w:lineRule="exact"/>
        <w:ind w:firstLine="708" w:firstLineChars="236"/>
        <w:jc w:val="left"/>
        <w:rPr>
          <w:rFonts w:hAnsi="宋体" w:eastAsia="仿宋_GB2312" w:cs="宋体"/>
          <w:kern w:val="0"/>
          <w:sz w:val="30"/>
          <w:szCs w:val="30"/>
        </w:rPr>
      </w:pPr>
    </w:p>
    <w:p>
      <w:pPr>
        <w:spacing w:line="700" w:lineRule="exact"/>
        <w:ind w:firstLine="708" w:firstLineChars="236"/>
        <w:jc w:val="left"/>
        <w:rPr>
          <w:rFonts w:hAnsi="宋体" w:eastAsia="仿宋_GB2312" w:cs="宋体"/>
          <w:kern w:val="0"/>
          <w:sz w:val="30"/>
          <w:szCs w:val="30"/>
        </w:rPr>
      </w:pPr>
    </w:p>
    <w:p>
      <w:pPr>
        <w:spacing w:line="700" w:lineRule="exact"/>
        <w:ind w:firstLine="708" w:firstLineChars="236"/>
        <w:jc w:val="left"/>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方正小标宋_GBK" w:hAnsi="黑体" w:eastAsia="方正小标宋_GBK" w:cs="黑体"/>
          <w:bCs/>
          <w:sz w:val="44"/>
          <w:szCs w:val="44"/>
        </w:rPr>
      </w:pPr>
      <w:r>
        <w:rPr>
          <w:rFonts w:hint="eastAsia" w:ascii="方正小标宋_GBK" w:hAnsi="黑体" w:eastAsia="方正小标宋_GBK" w:cs="黑体"/>
          <w:bCs/>
          <w:sz w:val="44"/>
          <w:szCs w:val="44"/>
        </w:rPr>
        <w:t>沙湾市</w:t>
      </w:r>
      <w:r>
        <w:rPr>
          <w:rFonts w:hint="eastAsia" w:ascii="方正小标宋_GBK" w:hAnsi="黑体" w:eastAsia="方正小标宋_GBK" w:cs="黑体"/>
          <w:bCs/>
          <w:sz w:val="44"/>
          <w:szCs w:val="44"/>
          <w:lang w:eastAsia="zh-CN"/>
        </w:rPr>
        <w:t>卫生计生综合监督执法局</w:t>
      </w:r>
      <w:r>
        <w:rPr>
          <w:rFonts w:hint="eastAsia" w:ascii="方正小标宋_GBK" w:hAnsi="黑体" w:eastAsia="方正小标宋_GBK" w:cs="黑体"/>
          <w:bCs/>
          <w:sz w:val="44"/>
          <w:szCs w:val="44"/>
        </w:rPr>
        <w:t>2023年中央及自治区基本公共卫生服务项目项目支出</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Style w:val="18"/>
          <w:rFonts w:hint="eastAsia" w:ascii="黑体" w:hAnsi="黑体" w:eastAsia="黑体"/>
          <w:b w:val="0"/>
          <w:spacing w:val="-4"/>
          <w:sz w:val="32"/>
          <w:szCs w:val="32"/>
        </w:rPr>
      </w:pPr>
      <w:r>
        <w:rPr>
          <w:rFonts w:hint="eastAsia" w:ascii="方正小标宋_GBK" w:hAnsi="黑体" w:eastAsia="方正小标宋_GBK" w:cs="黑体"/>
          <w:bCs/>
          <w:sz w:val="44"/>
          <w:szCs w:val="44"/>
        </w:rPr>
        <w:t>绩效评价报告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w:t>
      </w:r>
      <w:r>
        <w:rPr>
          <w:rFonts w:hint="eastAsia" w:ascii="楷体_GB2312" w:eastAsia="楷体_GB2312"/>
          <w:szCs w:val="32"/>
        </w:rPr>
        <w:t>项目概况</w:t>
      </w:r>
      <w:r>
        <w:rPr>
          <w:rStyle w:val="18"/>
          <w:rFonts w:hint="eastAsia" w:ascii="楷体" w:hAnsi="楷体" w:eastAsia="楷体"/>
          <w:spacing w:val="-4"/>
          <w:sz w:val="32"/>
          <w:szCs w:val="32"/>
        </w:rPr>
        <w:t>项目单位基本情况</w:t>
      </w:r>
    </w:p>
    <w:p>
      <w:pPr>
        <w:spacing w:line="540" w:lineRule="exact"/>
        <w:ind w:left="1052" w:leftChars="456" w:hanging="94" w:hangingChars="30"/>
        <w:rPr>
          <w:rStyle w:val="18"/>
          <w:rFonts w:hint="eastAsia" w:ascii="黑体" w:hAnsi="黑体" w:eastAsia="黑体" w:cs="黑体"/>
          <w:spacing w:val="-4"/>
          <w:sz w:val="32"/>
          <w:szCs w:val="32"/>
        </w:rPr>
      </w:pPr>
      <w:r>
        <w:rPr>
          <w:rStyle w:val="18"/>
          <w:rFonts w:hint="eastAsia" w:ascii="黑体" w:hAnsi="黑体" w:eastAsia="黑体" w:cs="黑体"/>
          <w:spacing w:val="-4"/>
          <w:sz w:val="32"/>
          <w:szCs w:val="32"/>
        </w:rPr>
        <w:t>1.项目背景</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沙湾市卫生计生综合监督执法局为全额参公事业单位，下设3个办公室，分别为：综合办公室、监督科、财务室。编制人数12人，在编人数 12人、在岗12人。</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通过对全市人民群众进行开展常规、安全的基本公共卫生预防知识宣传及检测服务项目，全面掌握全市居民健康状况，分析影响全市城乡居民健康的主要因素，制定科学准确的疾病防控方案，研究做到对危害群众健康的各类疾病“早发现、早诊断、早治疗、早预防”。通过广泛开展全民基本公共卫生预防知识宣传及扩大检测人群范围，让全市各族群众切身感受到以习近平同志为核心的党中央对新疆各族人民的特殊关怀，发自内心地感恩党、感恩政府、感恩伟大祖国，为实现社会稳定和长治久安总目标凝心聚力紧紧围绕人民群众最关心最直接最现实的健康问题，把保障人民健康作为经济社会政策重要目标，以“共建共享，全民健康”为战略主题，把健康指标融入各项政策，把实施健康中国战略作为基本公共卫生民心工程，始终围绕社会稳定和长治久安总目标，努力实施《健康新疆2030规划》，全面落实自治区党委、政府医疗惠民工程，促进基本公共卫生公共卫生服务均等化和公平性、及时性，切实把党和政府对全民关心、关爱的惠民暖心工程做实做好。</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2023年沙湾市卫生计生综合监督执法局根据分配塔地财社[2023]25号沙财社[2023]009号--下达2023年中央基本公共卫生服务补助资金1.8万元的通知，积极开展了基本公共卫生服务补助资金项目，坚持把基本公共卫生服务作为一项“惠民暖心工程”来实施，让全民共享改革发展成果，感受党和政府的温暖。</w:t>
      </w:r>
      <w:r>
        <w:rPr>
          <w:rFonts w:hint="eastAsia" w:ascii="Times New Roman" w:hAnsi="Times New Roman" w:eastAsia="仿宋_GB2312" w:cs="Times New Roman"/>
          <w:sz w:val="32"/>
          <w:szCs w:val="32"/>
          <w:lang w:eastAsia="zh-CN"/>
        </w:rPr>
        <w:br w:type="textWrapping"/>
      </w:r>
      <w:r>
        <w:rPr>
          <w:rStyle w:val="18"/>
          <w:rFonts w:hint="eastAsia" w:ascii="楷体" w:hAnsi="楷体" w:eastAsia="楷体"/>
          <w:spacing w:val="-4"/>
          <w:sz w:val="32"/>
          <w:szCs w:val="32"/>
        </w:rPr>
        <w:t xml:space="preserve">   </w:t>
      </w:r>
      <w:r>
        <w:rPr>
          <w:rFonts w:hint="eastAsia" w:ascii="Times New Roman" w:hAnsi="Times New Roman" w:eastAsia="仿宋_GB2312" w:cs="Times New Roman"/>
          <w:sz w:val="32"/>
          <w:szCs w:val="32"/>
          <w:lang w:eastAsia="zh-CN"/>
        </w:rPr>
        <w:t xml:space="preserve"> </w:t>
      </w:r>
      <w:r>
        <w:rPr>
          <w:rFonts w:hint="eastAsia" w:ascii="Times New Roman" w:hAnsi="Times New Roman" w:eastAsia="仿宋_GB2312" w:cs="Times New Roman"/>
          <w:b/>
          <w:bCs/>
          <w:sz w:val="32"/>
          <w:szCs w:val="32"/>
          <w:lang w:eastAsia="zh-CN"/>
        </w:rPr>
        <w:t>2.项目主要内容及实施情况</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本项目主要内容为：（1）以“职业病宣传周”为契机，积极开展《职业病防治法》宣传活动，联合疾控中心走上街头、深入企业，通过悬挂横幅、发放宣传（海报）册、现场讲解等多种形式，为劳动者普及职业病防治相关知识，要求用人单位落实主体责任，组织劳动者开展职业病健康检查，配备合格、充足的职业病防护用品等。发放职业病防治法宣传手册200余份，悬挂横幅8条、宣传海报200余张，组织职业病防治相关培训2场次；加大对企业的监督检查力度，开展用人单位职业卫生监督检查40余家，下达监督意见书40份。</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（2）按计划完成食品安全国家标准及地方食品安全标准跟踪评价工作以及标准宣传培训等工作。</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（3）不断提升综合监督执法队伍能力和水平，创新监管方式，完成2023年度“</w:t>
      </w:r>
      <w:r>
        <w:rPr>
          <w:rFonts w:hint="eastAsia" w:eastAsia="仿宋_GB2312" w:cs="Times New Roman"/>
          <w:sz w:val="32"/>
          <w:szCs w:val="32"/>
          <w:lang w:eastAsia="zh-CN"/>
        </w:rPr>
        <w:t>双随机、一公开</w:t>
      </w:r>
      <w:r>
        <w:rPr>
          <w:rFonts w:hint="eastAsia" w:ascii="Times New Roman" w:hAnsi="Times New Roman" w:eastAsia="仿宋_GB2312" w:cs="Times New Roman"/>
          <w:sz w:val="32"/>
          <w:szCs w:val="32"/>
          <w:lang w:eastAsia="zh-CN"/>
        </w:rPr>
        <w:t>”监督抽查及各项监督检查任务，做好随机抽查效果评估，加强推进信息化建设。</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本项目于2023年1月开始实施，截止2023年12月，该项目已实施完成，各项任务指标全部完成。通过本项目的实施对提高我单位监督服务水平具有重要作用，是保证各族人民身心健康的需要，是区域内卫生监督事业发展的客观要求，是建设新时期公共卫生服务体系的需要，是构筑和谐社会的需要，同时也是沙湾市经济社会发展的客观需要。</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3</w:t>
      </w:r>
      <w:r>
        <w:rPr>
          <w:rFonts w:hint="eastAsia" w:ascii="Times New Roman" w:hAnsi="Times New Roman" w:eastAsia="仿宋_GB2312" w:cs="Times New Roman"/>
          <w:b/>
          <w:bCs/>
          <w:sz w:val="32"/>
          <w:szCs w:val="32"/>
          <w:lang w:eastAsia="zh-CN"/>
        </w:rPr>
        <w:t>.项目实施主体</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2023年中央基本公共卫生服务职业病防治经费和食品安全标准评价体系和“双随机”监督抽检项目的实施主体为沙湾市卫生计生综合监督执法局。</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 xml:space="preserve">    4</w:t>
      </w:r>
      <w:r>
        <w:rPr>
          <w:rFonts w:hint="eastAsia" w:ascii="Times New Roman" w:hAnsi="Times New Roman" w:eastAsia="仿宋_GB2312" w:cs="Times New Roman"/>
          <w:b/>
          <w:bCs/>
          <w:sz w:val="32"/>
          <w:szCs w:val="32"/>
          <w:lang w:eastAsia="zh-CN"/>
        </w:rPr>
        <w:t>. 资金投入和使用情况</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（1）项目资金安排落实、总投入情况</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 xml:space="preserve">    根据沙湾市财政局《关于下达2023年中央基本公共卫生服务补助资金的通知》（塔地财社〔2023〕25号）文件，《关于拨付2023年中央财政基本公共卫生服务补助资金的通知》。2023年中央财政基本公共卫生服务补助资金经费预算安排资金总额1.3万元，其中财政资金1.3万元、其他资金0万元；2023年实际收到预算资金1.3万元；（塔地财社〔2023〕17号文件精神，2023年自治区财政基本公共卫生服务补助资金经费预算安排资金总额0.5万元，其中财政资金0.5万元、其他资金0万元；2023年实际收到预算资金0.5万元；2023年实际共收到预算资金1.8万元，文件预算资金到位率为100%。</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 xml:space="preserve">    （2）项目资金实际使用情况</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 xml:space="preserve">    截至2023年12月31日，本项目实际支付资金,1.8万元，预算执行率100%，结转资金0万元，项目资金主要用于支付办公费用1.8万元。</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w:t>
      </w:r>
      <w:r>
        <w:rPr>
          <w:rFonts w:hint="eastAsia" w:ascii="楷体_GB2312" w:hAnsi="Arial" w:eastAsia="楷体_GB2312" w:cs="Times New Roman"/>
          <w:b/>
          <w:bCs w:val="0"/>
          <w:i w:val="0"/>
          <w:iCs w:val="0"/>
          <w:kern w:val="2"/>
          <w:sz w:val="32"/>
          <w:szCs w:val="32"/>
          <w:lang w:val="en-US" w:eastAsia="zh-CN" w:bidi="ar-SA"/>
        </w:rPr>
        <w:t>项目预算绩效目标</w:t>
      </w:r>
    </w:p>
    <w:p>
      <w:pPr>
        <w:spacing w:line="540" w:lineRule="exact"/>
        <w:ind w:left="638" w:leftChars="304" w:firstLine="0" w:firstLineChars="0"/>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sz w:val="32"/>
          <w:szCs w:val="32"/>
          <w:lang w:eastAsia="zh-CN"/>
        </w:rPr>
        <w:t>1.</w:t>
      </w:r>
      <w:r>
        <w:rPr>
          <w:rFonts w:hint="eastAsia" w:ascii="Times New Roman" w:hAnsi="Times New Roman" w:eastAsia="仿宋_GB2312" w:cs="Times New Roman"/>
          <w:b/>
          <w:bCs/>
          <w:sz w:val="32"/>
          <w:szCs w:val="32"/>
          <w:lang w:eastAsia="zh-CN"/>
        </w:rPr>
        <w:t>总体目标</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以“职业病宣传周”为契机，联合市疾病预防控制中心等单位走上街头、深入企业，开展《职业病防治法》宣传活动，发放宣传手册500余份，悬挂宣传横幅6条，张贴宣传海报80余张，开展职业病防治法律法规培训2场次，通过宣传提高用人单位的主体责任和劳动者的自我保护意识。二是深入企业开展用人单位职业卫生监督检查22家，要求用人单位落实主体责任，组织劳动者开展职业病健康检查，配备合格、充足的职业病防护用品等。</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按计划完成食品安全国家标准及地方食品安全标准跟踪评价工作以及标准宣传培训等工作。</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不断提升综合监督执法队伍能力和水平，创新监管方式，完成2023年度“</w:t>
      </w:r>
      <w:r>
        <w:rPr>
          <w:rFonts w:hint="eastAsia" w:eastAsia="仿宋_GB2312" w:cs="Times New Roman"/>
          <w:sz w:val="32"/>
          <w:szCs w:val="32"/>
          <w:lang w:eastAsia="zh-CN"/>
        </w:rPr>
        <w:t>双随机、一公开</w:t>
      </w:r>
      <w:r>
        <w:rPr>
          <w:rFonts w:hint="eastAsia" w:ascii="Times New Roman" w:hAnsi="Times New Roman" w:eastAsia="仿宋_GB2312" w:cs="Times New Roman"/>
          <w:sz w:val="32"/>
          <w:szCs w:val="32"/>
          <w:lang w:eastAsia="zh-CN"/>
        </w:rPr>
        <w:t>”监督抽查及各项监督检查任务，做好随机抽查效果评估，加强推进信息化建设。</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本项目于2023年1月开始实施，截止2023年12月，该项目已实施完成，各项任务指标全部完成。通过本项目的实施对提高我单位监督服务水平具有重要作用，是保证各族人民身心健康的需要，是区域内卫生监督事业发展的客观要求，是建设新时期公共卫生服务体系的需要，是构筑和谐社会的需要，同时也是沙湾市经济社会发展的客观需要。</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目标1: 开展职业病防治法律法规培训大于等于2场次；</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目标2: 食品安全标准体系培训大于等于2次；目标3：双随机监督检查完成率100%。</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2.阶段性目标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 xml:space="preserve">   （1）项目产出指标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①数量指标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“开展职业病法律法规培训宣传场次”指标，预期指标值为“大于等于2次”；</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②数量指标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“双随机监督检查完成率”指标，预期指标值为“大于等于69家，完成率100%”；</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③数量指标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“开展食品安全标准工作次数”指标，预期指标值为大于等于2次；</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（2）项目成本指标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开展职业卫生法律法规宣传成本小于等于1万元。</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开展食品安全标准培训成本小于等于0.3万元。</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开展双随机监督检测成本小于等于0.5万元。</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（3）项目效益指标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 xml:space="preserve">   无此项指标。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 xml:space="preserve"> </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②社会效益指标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“提高劳动者的自我保护意识”指标，预期指标值“有效提高”</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无此项指标。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③生态效益指标</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无此项指标。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（4）相关满意度目标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 xml:space="preserve">  “受益对象满意度”指标，预期指标值大于等于90%。</w:t>
      </w:r>
    </w:p>
    <w:p>
      <w:pPr>
        <w:spacing w:line="540" w:lineRule="exact"/>
        <w:ind w:firstLine="960" w:firstLineChars="3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二、项目资金使用及管理情况</w:t>
      </w:r>
    </w:p>
    <w:p>
      <w:pPr>
        <w:spacing w:line="540" w:lineRule="exact"/>
        <w:ind w:firstLine="960" w:firstLineChars="3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（一）项目资金安排落实、总投入等情况分析</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w:t>
      </w:r>
      <w:r>
        <w:rPr>
          <w:rFonts w:hint="eastAsia" w:ascii="Times New Roman" w:hAnsi="Times New Roman" w:eastAsia="仿宋_GB2312" w:cs="Times New Roman"/>
          <w:b/>
          <w:bCs/>
          <w:sz w:val="32"/>
          <w:szCs w:val="32"/>
          <w:lang w:eastAsia="zh-CN"/>
        </w:rPr>
        <w:t>绩效评价的目的</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2.</w:t>
      </w:r>
      <w:r>
        <w:rPr>
          <w:rFonts w:hint="eastAsia" w:ascii="Times New Roman" w:hAnsi="Times New Roman" w:eastAsia="仿宋_GB2312" w:cs="Times New Roman"/>
          <w:b/>
          <w:bCs/>
          <w:sz w:val="32"/>
          <w:szCs w:val="32"/>
          <w:lang w:eastAsia="zh-CN"/>
        </w:rPr>
        <w:t>绩效评价的对象和范围</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本次绩效评价遵循财政部《关于印发&lt;项目支出绩效评价管理办法&gt;的通知》（财预〔2020〕10号）以及自治区财政厅《自治区财政支出绩效评价管理暂行办法》（新财预〔2018〕189号）等文件规定，对2023年度我单位实施的2023年自治区地方公共卫生服务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w:t>
      </w:r>
      <w:r>
        <w:rPr>
          <w:rFonts w:hint="eastAsia" w:ascii="Times New Roman" w:hAnsi="Times New Roman" w:eastAsia="仿宋_GB2312" w:cs="Times New Roman"/>
          <w:b/>
          <w:bCs/>
          <w:sz w:val="32"/>
          <w:szCs w:val="32"/>
          <w:lang w:eastAsia="zh-CN"/>
        </w:rPr>
        <w:t>项目资金实际使用情况分析</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w:t>
      </w:r>
      <w:r>
        <w:rPr>
          <w:rFonts w:hint="eastAsia" w:ascii="Times New Roman" w:hAnsi="Times New Roman" w:eastAsia="仿宋_GB2312" w:cs="Times New Roman"/>
          <w:b/>
          <w:bCs/>
          <w:sz w:val="32"/>
          <w:szCs w:val="32"/>
          <w:lang w:eastAsia="zh-CN"/>
        </w:rPr>
        <w:t>绩效评价原则</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自治区地方公共卫生服务项目实际开展情况，运用定量和定性分析相结合的方法，总结经验做法，反思项目实施和管理中的问题，以切实提升财政资金管理的科学化、规范化和精细化水平。</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根据以上原则，绩效评价遵循如下具体要求：</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（1）在数据采集时，采取客观数据主管部门审查、社会中介组织复查与问卷调查相结合的形式，以保证各项指标的真实性。</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（2）保证评价结果的真实性、公正性，提高评价报告的公信力。</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（3）绩效评价报告简明扼要，除对绩效评价的过程、结果描述外，还总结经验、指出问题，并就共性问题提出可操作性改进建议。</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2.</w:t>
      </w:r>
      <w:r>
        <w:rPr>
          <w:rFonts w:hint="eastAsia" w:ascii="Times New Roman" w:hAnsi="Times New Roman" w:eastAsia="仿宋_GB2312" w:cs="Times New Roman"/>
          <w:b/>
          <w:bCs/>
          <w:sz w:val="32"/>
          <w:szCs w:val="32"/>
          <w:lang w:eastAsia="zh-CN"/>
        </w:rPr>
        <w:t>绩效评价指标体系及绩效评价标准</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一级指标为：决策、过程、产出、成本、效益。</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二级指标为：项目立项、绩效目标、资金投入、资金管理、组织实施、产出数量、产出质量、产出时效、经济成本、项目效益。</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3.</w:t>
      </w:r>
      <w:r>
        <w:rPr>
          <w:rFonts w:hint="eastAsia" w:ascii="Times New Roman" w:hAnsi="Times New Roman" w:eastAsia="仿宋_GB2312" w:cs="Times New Roman"/>
          <w:b/>
          <w:bCs/>
          <w:sz w:val="32"/>
          <w:szCs w:val="32"/>
          <w:lang w:eastAsia="zh-CN"/>
        </w:rPr>
        <w:t>评价方法</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本次评价采取定量与定性评价相结合的方式，采用比较法、公众评判法对项目实施过程以及预期绩效目标完成情况进行全面、系统的评价，总分由各项指标得分汇总形成。</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4.</w:t>
      </w:r>
      <w:r>
        <w:rPr>
          <w:rFonts w:hint="eastAsia" w:ascii="Times New Roman" w:hAnsi="Times New Roman" w:eastAsia="仿宋_GB2312" w:cs="Times New Roman"/>
          <w:b/>
          <w:bCs/>
          <w:sz w:val="32"/>
          <w:szCs w:val="32"/>
          <w:lang w:eastAsia="zh-CN"/>
        </w:rPr>
        <w:t>评价标准</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（三）</w:t>
      </w:r>
      <w:r>
        <w:rPr>
          <w:rFonts w:hint="eastAsia" w:ascii="Times New Roman" w:hAnsi="Times New Roman" w:eastAsia="仿宋_GB2312" w:cs="Times New Roman"/>
          <w:b/>
          <w:bCs/>
          <w:sz w:val="32"/>
          <w:szCs w:val="32"/>
          <w:lang w:eastAsia="zh-CN"/>
        </w:rPr>
        <w:t>项目资金管理情况分析</w:t>
      </w:r>
    </w:p>
    <w:p>
      <w:pPr>
        <w:spacing w:line="540" w:lineRule="exact"/>
        <w:ind w:firstLine="2240" w:firstLineChars="7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第一阶段：前期准备。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我单位绩效评价人员根据《项目支出绩效评价管理办法》（财预〔2020〕10号）文件精神认真学习相关要求与规定，成立绩效评价工作组，作为绩效评价工作具体实施机构。成员构成如下：</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刘亮任评价组组长，绩效评价工作职责为检查项目绩效指标完成情况、审定项目支出绩效评价结果及项目支出绩效评价报告。</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哈里木拉提·哈生木任评价组副组长，绩效评价工作职责为组织和协调项目工作人员采取实地调查、资料检查等方式，核实项目绩效指标完成情况；组织受益对象对项目工作进行评价等。</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李芳任评价组成员，绩效评价工作职责为做好项目支出绩效评价工作的沟通协调工作，对项目实施情况进行实地调查，编写项目支出绩效评价报告。</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第二阶段：组织实施。</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经评价组通过实地调研、查阅资料等方式，采用综合分析法对项目的决策、管理、绩效进行的综合评价分析。</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第三阶段：分析评价。</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首先按照指标体系进行定量、定性分析。其次开展量化打分、综合评价工作，形成初步评价结论。最后归纳整体项目情况与存在问题，撰写部门绩效评价报告。</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第四阶段：撰写与提交评价报告</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项目撰写绩效评价报告，按照财政局大平台绩效系统中统一格式和文本框架撰写绩效评价报告。</w:t>
      </w:r>
      <w:r>
        <w:rPr>
          <w:rFonts w:hint="eastAsia" w:ascii="Times New Roman" w:hAnsi="Times New Roman" w:eastAsia="仿宋_GB2312" w:cs="Times New Roman"/>
          <w:sz w:val="32"/>
          <w:szCs w:val="32"/>
          <w:lang w:eastAsia="zh-CN"/>
        </w:rPr>
        <w:br w:type="textWrapping"/>
      </w:r>
      <w:bookmarkStart w:id="0" w:name="_GoBack"/>
      <w:bookmarkEnd w:id="0"/>
      <w:r>
        <w:rPr>
          <w:rFonts w:hint="eastAsia" w:ascii="Times New Roman" w:hAnsi="Times New Roman" w:eastAsia="仿宋_GB2312" w:cs="Times New Roman"/>
          <w:sz w:val="32"/>
          <w:szCs w:val="32"/>
          <w:lang w:eastAsia="zh-CN"/>
        </w:rPr>
        <w:t>第五阶段：归集档案</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建</w:t>
      </w:r>
      <w:r>
        <w:rPr>
          <w:rFonts w:hint="eastAsia" w:ascii="Times New Roman" w:hAnsi="Times New Roman" w:eastAsia="仿宋_GB2312" w:cs="Times New Roman"/>
          <w:sz w:val="32"/>
          <w:szCs w:val="32"/>
          <w:lang w:eastAsia="zh-CN"/>
        </w:rPr>
        <w:t>立和落实档案管理制度，将项目相关资料存档，包括但不限于：评价项目基本情况和相关文件、评价实施方案、项目支付资料等相关档案。</w:t>
      </w:r>
    </w:p>
    <w:p>
      <w:pPr>
        <w:spacing w:line="540" w:lineRule="exact"/>
        <w:ind w:firstLine="960" w:firstLineChars="3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三、</w:t>
      </w:r>
      <w:r>
        <w:rPr>
          <w:rFonts w:hint="eastAsia" w:ascii="Times New Roman" w:hAnsi="Times New Roman" w:eastAsia="仿宋_GB2312" w:cs="Times New Roman"/>
          <w:b/>
          <w:bCs/>
          <w:sz w:val="32"/>
          <w:szCs w:val="32"/>
          <w:lang w:eastAsia="zh-CN"/>
        </w:rPr>
        <w:t>项目组织实施情况</w:t>
      </w:r>
    </w:p>
    <w:p>
      <w:pPr>
        <w:spacing w:line="540" w:lineRule="exact"/>
        <w:ind w:firstLine="640" w:firstLineChars="200"/>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sz w:val="32"/>
          <w:szCs w:val="32"/>
          <w:lang w:eastAsia="zh-CN"/>
        </w:rPr>
        <w:t>（一）</w:t>
      </w:r>
      <w:r>
        <w:rPr>
          <w:rFonts w:hint="eastAsia" w:ascii="Times New Roman" w:hAnsi="Times New Roman" w:eastAsia="仿宋_GB2312" w:cs="Times New Roman"/>
          <w:b/>
          <w:bCs/>
          <w:sz w:val="32"/>
          <w:szCs w:val="32"/>
          <w:lang w:eastAsia="zh-CN"/>
        </w:rPr>
        <w:t>项目组织情况分析</w:t>
      </w:r>
    </w:p>
    <w:p>
      <w:pPr>
        <w:spacing w:line="540" w:lineRule="exact"/>
        <w:ind w:left="638" w:leftChars="304"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通过根据“国家健康监督信息平台”下达的“双随机”工作任务，做好内部“双随机”监督检查工作，按计划完成食品安全国家标准及地方食品安全标准跟踪评价工作以及标准宣传培训等工作；通过悬挂横幅、发放宣传（海报）册、现场讲解等多种形式，为劳动者普及职业病防治相关知识，要求用人单位落实主体责任，组织劳动者开展职业病健康检查，配备合格、充足的职业病防护用品等。确保完成率100%。</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该项目预算执行率达100%，项目预期绩效目标及各项具体指标均已全部达成。</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（二）</w:t>
      </w:r>
      <w:r>
        <w:rPr>
          <w:rFonts w:hint="eastAsia" w:ascii="Times New Roman" w:hAnsi="Times New Roman" w:eastAsia="仿宋_GB2312" w:cs="Times New Roman"/>
          <w:b/>
          <w:bCs/>
          <w:sz w:val="32"/>
          <w:szCs w:val="32"/>
          <w:lang w:eastAsia="zh-CN"/>
        </w:rPr>
        <w:t>综合评价结论</w:t>
      </w:r>
      <w:r>
        <w:rPr>
          <w:rFonts w:hint="eastAsia" w:ascii="Times New Roman" w:hAnsi="Times New Roman" w:eastAsia="仿宋_GB2312" w:cs="Times New Roman"/>
          <w:b/>
          <w:bCs/>
          <w:sz w:val="32"/>
          <w:szCs w:val="32"/>
          <w:lang w:eastAsia="zh-CN"/>
        </w:rPr>
        <w:br w:type="textWrapping"/>
      </w:r>
      <w:r>
        <w:rPr>
          <w:rFonts w:hint="eastAsia" w:ascii="Times New Roman" w:hAnsi="Times New Roman" w:eastAsia="仿宋_GB2312" w:cs="Times New Roman"/>
          <w:b/>
          <w:bCs/>
          <w:sz w:val="32"/>
          <w:szCs w:val="32"/>
          <w:lang w:val="en-US" w:eastAsia="zh-CN"/>
        </w:rPr>
        <w:t xml:space="preserve">    </w:t>
      </w:r>
      <w:r>
        <w:rPr>
          <w:rFonts w:hint="eastAsia" w:ascii="Times New Roman" w:hAnsi="Times New Roman" w:eastAsia="仿宋_GB2312" w:cs="Times New Roman"/>
          <w:sz w:val="32"/>
          <w:szCs w:val="32"/>
          <w:lang w:eastAsia="zh-CN"/>
        </w:rPr>
        <w:t>本次评价采取定量与定性评价相结合的方式，对2023年中央基本公共卫生服务项目的绩效目标和各项具体绩效指标实现情况进行了客观评价，最终评分为100分。绩效评级为“优”，具体得分情况为：项目决策15分、项目过程15分、项目产出40分、项目效益20分、项目满意度10分。</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w:t>
      </w:r>
      <w:r>
        <w:rPr>
          <w:rFonts w:hint="eastAsia" w:ascii="Times New Roman" w:hAnsi="Times New Roman" w:eastAsia="仿宋_GB2312" w:cs="Times New Roman"/>
          <w:b/>
          <w:bCs/>
          <w:sz w:val="32"/>
          <w:szCs w:val="32"/>
          <w:lang w:eastAsia="zh-CN"/>
        </w:rPr>
        <w:t>项目管理情况分析</w:t>
      </w:r>
    </w:p>
    <w:p>
      <w:pPr>
        <w:spacing w:line="54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项目决策类指标从项目立项、绩效目标和资金投入三个方面评价项目前期准备工作，权重分值为 15 分，本项目实际得分15分，得分率为100%。具体各项指标得分如下：</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1.立项依据充分性：本项目是由沙湾市疾病预防控制中心院提出申报，2023年我单位根据《关于提前下达2023年中央财政基本公共卫生补助资金预算的通知》（塔地财社〔2023〕25号）文件，《关于拨付2023年自治区基本公共卫生服务补助资金的通知》（塔地财社〔2023〕17号）文件，要求组织实施该项目。项目立项符合国家法律法规、自治区和地区行业发展规划和政策要求，属于本部门履职所需。根据评分标准，该指标2.5分，得2.5分。2.立项程序规范性：根据决策依据编制工作计划和经费预算，经过与部门市政府分管领导进行沟通、筛选确定经费预算计划，上党委会研究确定最终预算方案。根据评分标准，该指标2.5分，得2.5分。</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 xml:space="preserve"> 3.</w:t>
      </w:r>
      <w:r>
        <w:rPr>
          <w:rFonts w:hint="eastAsia" w:ascii="Times New Roman" w:hAnsi="Times New Roman" w:eastAsia="仿宋_GB2312" w:cs="Times New Roman"/>
          <w:b/>
          <w:bCs/>
          <w:sz w:val="32"/>
          <w:szCs w:val="32"/>
          <w:lang w:eastAsia="zh-CN"/>
        </w:rPr>
        <w:t>绩效目标合理性</w:t>
      </w:r>
      <w:r>
        <w:rPr>
          <w:rFonts w:hint="eastAsia" w:ascii="Times New Roman" w:hAnsi="Times New Roman" w:eastAsia="仿宋_GB2312" w:cs="Times New Roman"/>
          <w:sz w:val="32"/>
          <w:szCs w:val="32"/>
          <w:lang w:eastAsia="zh-CN"/>
        </w:rPr>
        <w:t>：本项目制定了项目支出绩效目标，明确了项目总体思路及总目标、并对项目任务进行了详细分解，对目标进行了细化。根据评分标准，该指标3分，得3分。</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4.绩效指标明确性：本项目已将项目绩效目标细化分解为具体的绩效指标，并通过清晰、可衡量的指标值予以体现，与项目目标任务数或计划数相对应。根据评分标准，该指标2分，得2分。</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5.预算编制科学性：预算编制经过科学论证，内容与项目内容匹配，项目投资额与工作任务相匹配，根据评分标准，该指标3分，得3分。</w:t>
      </w:r>
      <w:r>
        <w:rPr>
          <w:rFonts w:hint="eastAsia" w:ascii="Times New Roman" w:hAnsi="Times New Roman" w:eastAsia="仿宋_GB2312" w:cs="Times New Roman"/>
          <w:sz w:val="32"/>
          <w:szCs w:val="32"/>
          <w:lang w:val="en-US" w:eastAsia="zh-CN"/>
        </w:rPr>
        <w:t xml:space="preserve"> </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6.资金分配合理性：本项目资金分配依据充分，资金分配额度合理，与项目地方实际相适应。根据评分标准，该指标2分，得2分。</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四、</w:t>
      </w:r>
      <w:r>
        <w:rPr>
          <w:rFonts w:hint="eastAsia" w:ascii="Times New Roman" w:hAnsi="Times New Roman" w:eastAsia="仿宋_GB2312" w:cs="Times New Roman"/>
          <w:b/>
          <w:bCs/>
          <w:sz w:val="32"/>
          <w:szCs w:val="32"/>
          <w:lang w:eastAsia="zh-CN"/>
        </w:rPr>
        <w:t>项目绩效情况</w:t>
      </w:r>
      <w:r>
        <w:rPr>
          <w:rFonts w:hint="eastAsia" w:ascii="Times New Roman" w:hAnsi="Times New Roman" w:eastAsia="仿宋_GB2312" w:cs="Times New Roman"/>
          <w:sz w:val="32"/>
          <w:szCs w:val="32"/>
          <w:lang w:eastAsia="zh-CN"/>
        </w:rPr>
        <w:t xml:space="preserve"> </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（二）项目绩效目标未完成原因分析</w:t>
      </w:r>
    </w:p>
    <w:p>
      <w:pPr>
        <w:spacing w:line="540" w:lineRule="exact"/>
        <w:ind w:firstLine="1920" w:firstLineChars="6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项目产出类指标包括产出数量、产出质量、产出时效、产出成本共四方面的内容，由5个三级指标构成，权重分为40分，本项目实际得分40分，得分率为100%。具体各项指标得分如下：</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1.产出数量</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“开展职业卫生法律法规培训宣传次数（次）</w:t>
      </w:r>
      <w:r>
        <w:rPr>
          <w:rFonts w:hint="eastAsia" w:ascii="Times New Roman" w:hAnsi="Times New Roman" w:eastAsia="仿宋_GB2312" w:cs="Times New Roman"/>
          <w:sz w:val="32"/>
          <w:szCs w:val="32"/>
          <w:lang w:eastAsia="zh-CN"/>
        </w:rPr>
        <w:tab/>
      </w:r>
      <w:r>
        <w:rPr>
          <w:rFonts w:hint="eastAsia" w:ascii="Times New Roman" w:hAnsi="Times New Roman" w:eastAsia="仿宋_GB2312" w:cs="Times New Roman"/>
          <w:sz w:val="32"/>
          <w:szCs w:val="32"/>
          <w:lang w:eastAsia="zh-CN"/>
        </w:rPr>
        <w:t>”指标，预期指标值为“大于等于2次”，根据职业病宣传可知，实际完成2次，等于预期目标，根据评分标准，该指标4分，得4分；</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“开展食品安全标准培训工作次数”指标，预期指标值为“大于等于2次”，根据食品安全培训可知，实际完成2次，等于预期目标，根据评分标准，该指标3分，得3分；</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“双随机监督检查数量”指标，预期指标值为“大于等于69家”，根据双随机监督检查可知，实际完成69家，等于预期目标，根据评分标准，该指标3分，得3分；</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2.产出质量</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“资金使用规范率（%）”指标，预期指标值为“等于100%”，根据2023年公卫工作完成情况可知，实际使用规范率100%，根据评分标准，该指标10分，得10分；</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3.产出时效</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“项目完成时限”指标，预期指标值为“2023年12月20日前”；根据2023年度沙湾市卫生计生综合监督执法局工作总结显示，该项目于2023年12月20日前完成，与预期目标指标一致，根据评分标准，该指标10分，得10分。</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4.产出成本</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开展职业卫生法律法规培训宣传成本”指标，预期指标值为“等于1万元”，根据2023年度沙湾市卫生计生综合监督执法局2023年决算报表显示，本项目2023年支付决算数据显示1万元，经费支出能够控制在年度计划成本范围内，根据评分标准，该指标4分，得4分。</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开展食品安全标准培训宣传成本”指标，预期指标值为“小于等于0.3万元”，根据2023年度沙湾市卫生计生综合监督执法局2023年决算报表显示，本项目2023年支付决算数据显示0.3万元，经费支出能够控制在年度计划成本范围内，根据评分标准，该指标3分，得3分。</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开展双随机监督检查69家”成本指标，预期指标值为“小于等于0.5万元”，根据2023年度沙湾市卫生计生综合监督执法局2023年决算报表显示，本项目2023年支付决算数据显示0.5万元，经费支出能够控制在年度计划成本范围内，根据评分标准，该指标3分，得3分。</w:t>
      </w:r>
    </w:p>
    <w:p>
      <w:pPr>
        <w:spacing w:line="540" w:lineRule="exact"/>
        <w:ind w:firstLine="640" w:firstLineChars="200"/>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sz w:val="32"/>
          <w:szCs w:val="32"/>
          <w:lang w:eastAsia="zh-CN"/>
        </w:rPr>
        <w:t>五、</w:t>
      </w:r>
      <w:r>
        <w:rPr>
          <w:rFonts w:hint="eastAsia" w:ascii="Times New Roman" w:hAnsi="Times New Roman" w:eastAsia="仿宋_GB2312" w:cs="Times New Roman"/>
          <w:b/>
          <w:bCs/>
          <w:sz w:val="32"/>
          <w:szCs w:val="32"/>
          <w:lang w:eastAsia="zh-CN"/>
        </w:rPr>
        <w:t>其他需要说明的问题</w:t>
      </w:r>
    </w:p>
    <w:p>
      <w:pPr>
        <w:spacing w:line="540" w:lineRule="exact"/>
        <w:ind w:firstLine="640" w:firstLineChars="200"/>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sz w:val="32"/>
          <w:szCs w:val="32"/>
          <w:lang w:eastAsia="zh-CN"/>
        </w:rPr>
        <w:t>（一）</w:t>
      </w:r>
      <w:r>
        <w:rPr>
          <w:rFonts w:hint="eastAsia" w:ascii="Times New Roman" w:hAnsi="Times New Roman" w:eastAsia="仿宋_GB2312" w:cs="Times New Roman"/>
          <w:b/>
          <w:bCs/>
          <w:sz w:val="32"/>
          <w:szCs w:val="32"/>
          <w:lang w:eastAsia="zh-CN"/>
        </w:rPr>
        <w:t>后续工作计划</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项目效益类指标由社会效益1个二级指标构成，权重分为20分，本项目实际得分20分，得分率为100.0%。具体各项指标得分如下：</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1.</w:t>
      </w:r>
      <w:r>
        <w:rPr>
          <w:rFonts w:hint="eastAsia" w:ascii="Times New Roman" w:hAnsi="Times New Roman" w:eastAsia="仿宋_GB2312" w:cs="Times New Roman"/>
          <w:b/>
          <w:bCs/>
          <w:sz w:val="32"/>
          <w:szCs w:val="32"/>
          <w:lang w:eastAsia="zh-CN"/>
        </w:rPr>
        <w:t>社会效益指标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“提高劳动者的自我保护意识”指标，预期指标值为“有效提高”，根据本单位工作总结，实际完成值为“基本达成目标”，根据评分标准，该指标20分，得20分。</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2.</w:t>
      </w:r>
      <w:r>
        <w:rPr>
          <w:rFonts w:hint="eastAsia" w:ascii="Times New Roman" w:hAnsi="Times New Roman" w:eastAsia="仿宋_GB2312" w:cs="Times New Roman"/>
          <w:b/>
          <w:bCs/>
          <w:sz w:val="32"/>
          <w:szCs w:val="32"/>
          <w:lang w:eastAsia="zh-CN"/>
        </w:rPr>
        <w:t>经济效益指标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本项目无该项指标。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3.</w:t>
      </w:r>
      <w:r>
        <w:rPr>
          <w:rFonts w:hint="eastAsia" w:ascii="Times New Roman" w:hAnsi="Times New Roman" w:eastAsia="仿宋_GB2312" w:cs="Times New Roman"/>
          <w:b/>
          <w:bCs/>
          <w:sz w:val="32"/>
          <w:szCs w:val="32"/>
          <w:lang w:eastAsia="zh-CN"/>
        </w:rPr>
        <w:t>生态效益指标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本项目无该项指标。</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w:t>
      </w:r>
      <w:r>
        <w:rPr>
          <w:rFonts w:hint="eastAsia" w:ascii="Times New Roman" w:hAnsi="Times New Roman" w:eastAsia="仿宋_GB2312" w:cs="Times New Roman"/>
          <w:b/>
          <w:bCs/>
          <w:sz w:val="32"/>
          <w:szCs w:val="32"/>
          <w:lang w:eastAsia="zh-CN"/>
        </w:rPr>
        <w:t>主要经验及做法、存在问题和建议</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“受益群众满意度（%）”指标，预期指标值为“大于等于90%”，根据服务对象满意度满意度问卷调查的结果可知，服务对象满意度达96%，根据评分标准，该指标10分,得10分。</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（三）</w:t>
      </w:r>
      <w:r>
        <w:rPr>
          <w:rFonts w:hint="eastAsia" w:ascii="Times New Roman" w:hAnsi="Times New Roman" w:eastAsia="仿宋_GB2312" w:cs="Times New Roman"/>
          <w:b/>
          <w:bCs/>
          <w:sz w:val="32"/>
          <w:szCs w:val="32"/>
          <w:lang w:eastAsia="zh-CN"/>
        </w:rPr>
        <w:t>其他</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2023年中央财政基本公共卫生职业病防治经费项目预算金额1.8万元，实际到位1.8万元，实际支出1.8万元，预算执行率为100%。</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2023年本单位负责实施的2023年中央财政基本公共卫生补助资金经费项目当中，预算执行率（%）指标的实际完成情况达到预算指标值，不存在偏差。</w:t>
      </w:r>
    </w:p>
    <w:p>
      <w:pPr>
        <w:spacing w:line="540" w:lineRule="exact"/>
        <w:ind w:firstLine="640" w:firstLineChars="200"/>
        <w:rPr>
          <w:rFonts w:hint="eastAsia" w:ascii="Times New Roman" w:hAnsi="Times New Roman" w:eastAsia="仿宋_GB2312" w:cs="Times New Roman"/>
          <w:sz w:val="32"/>
          <w:szCs w:val="32"/>
          <w:lang w:eastAsia="zh-CN"/>
        </w:rPr>
      </w:pPr>
    </w:p>
    <w:p>
      <w:pPr>
        <w:spacing w:line="540" w:lineRule="exact"/>
        <w:ind w:firstLine="640" w:firstLineChars="200"/>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sz w:val="32"/>
          <w:szCs w:val="32"/>
          <w:lang w:eastAsia="zh-CN"/>
        </w:rPr>
        <w:t>六、</w:t>
      </w:r>
      <w:r>
        <w:rPr>
          <w:rFonts w:hint="eastAsia" w:ascii="Times New Roman" w:hAnsi="Times New Roman" w:eastAsia="仿宋_GB2312" w:cs="Times New Roman"/>
          <w:b/>
          <w:bCs/>
          <w:sz w:val="32"/>
          <w:szCs w:val="32"/>
          <w:lang w:eastAsia="zh-CN"/>
        </w:rPr>
        <w:t>项目评价工作情况</w:t>
      </w:r>
    </w:p>
    <w:p>
      <w:p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包括评价基础数据收集、资料来源和依据等佐证材料情况，项目现场勘验检查核实等情况</w:t>
      </w:r>
    </w:p>
    <w:p>
      <w:pPr>
        <w:numPr>
          <w:ilvl w:val="0"/>
          <w:numId w:val="1"/>
        </w:num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聚焦重点任务，推动项目工作落地落实</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2.坚持问题导向，加强执行监控，提高资金效益</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3.强化绩效目标刚性约束，及时对项目进行跟踪问效</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numPr>
          <w:ilvl w:val="0"/>
          <w:numId w:val="0"/>
        </w:numPr>
        <w:spacing w:line="54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w:t>
      </w:r>
      <w:r>
        <w:rPr>
          <w:rFonts w:hint="eastAsia" w:ascii="Times New Roman" w:hAnsi="Times New Roman" w:eastAsia="仿宋_GB2312" w:cs="Times New Roman"/>
          <w:b/>
          <w:bCs/>
          <w:sz w:val="32"/>
          <w:szCs w:val="32"/>
          <w:lang w:eastAsia="zh-CN"/>
        </w:rPr>
        <w:t>存在问题及原因分析</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1.绩效预算认识不够充分，绩效理念有待进一步强化</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eastAsia="zh-CN"/>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2.绩效档案归档工作有待提高</w:t>
      </w:r>
      <w:r>
        <w:rPr>
          <w:rFonts w:hint="eastAsia" w:ascii="Times New Roman" w:hAnsi="Times New Roman" w:eastAsia="仿宋_GB2312" w:cs="Times New Roman"/>
          <w:sz w:val="32"/>
          <w:szCs w:val="32"/>
          <w:lang w:eastAsia="zh-CN"/>
        </w:rPr>
        <w:br w:type="textWrapping"/>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eastAsia="zh-CN"/>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pPr>
        <w:spacing w:line="540" w:lineRule="exact"/>
        <w:ind w:firstLine="640" w:firstLineChars="200"/>
        <w:rPr>
          <w:rFonts w:hint="eastAsia" w:ascii="Times New Roman" w:hAnsi="Times New Roman" w:eastAsia="仿宋_GB2312" w:cs="Times New Roman"/>
          <w:sz w:val="32"/>
          <w:szCs w:val="32"/>
          <w:lang w:eastAsia="zh-CN"/>
        </w:rPr>
      </w:pPr>
    </w:p>
    <w:p>
      <w:pPr>
        <w:spacing w:line="540" w:lineRule="exact"/>
        <w:ind w:firstLine="640" w:firstLineChars="200"/>
        <w:rPr>
          <w:rFonts w:hint="eastAsia" w:ascii="Times New Roman" w:hAnsi="Times New Roman" w:eastAsia="仿宋_GB2312" w:cs="Times New Roman"/>
          <w:sz w:val="32"/>
          <w:szCs w:val="32"/>
          <w:lang w:eastAsia="zh-CN"/>
        </w:rPr>
      </w:pPr>
    </w:p>
    <w:p>
      <w:pPr>
        <w:spacing w:line="540" w:lineRule="exact"/>
        <w:ind w:firstLine="640" w:firstLineChars="200"/>
        <w:rPr>
          <w:rFonts w:hint="eastAsia" w:ascii="Times New Roman" w:hAnsi="Times New Roman" w:eastAsia="仿宋_GB2312" w:cs="Times New Roman"/>
          <w:sz w:val="32"/>
          <w:szCs w:val="32"/>
          <w:lang w:eastAsia="zh-CN"/>
        </w:rPr>
      </w:pPr>
    </w:p>
    <w:p>
      <w:pPr>
        <w:spacing w:line="540" w:lineRule="exact"/>
        <w:ind w:firstLine="640" w:firstLineChars="200"/>
        <w:rPr>
          <w:rFonts w:hint="eastAsia" w:ascii="Times New Roman" w:hAnsi="Times New Roman" w:eastAsia="仿宋_GB2312" w:cs="Times New Roman"/>
          <w:sz w:val="32"/>
          <w:szCs w:val="32"/>
          <w:lang w:eastAsia="zh-CN"/>
        </w:rPr>
      </w:pPr>
    </w:p>
    <w:p>
      <w:pPr>
        <w:spacing w:line="540" w:lineRule="exact"/>
        <w:ind w:firstLine="640" w:firstLineChars="200"/>
        <w:rPr>
          <w:rFonts w:hint="eastAsia" w:ascii="Times New Roman" w:hAnsi="Times New Roman" w:eastAsia="仿宋_GB2312" w:cs="Times New Roman"/>
          <w:sz w:val="32"/>
          <w:szCs w:val="32"/>
          <w:lang w:eastAsia="zh-CN"/>
        </w:rPr>
      </w:pPr>
    </w:p>
    <w:p>
      <w:pPr>
        <w:spacing w:line="540" w:lineRule="exact"/>
        <w:ind w:firstLine="640" w:firstLineChars="200"/>
        <w:rPr>
          <w:rFonts w:hint="eastAsia" w:ascii="Times New Roman" w:hAnsi="Times New Roman" w:eastAsia="仿宋_GB2312" w:cs="Times New Roman"/>
          <w:sz w:val="32"/>
          <w:szCs w:val="32"/>
          <w:lang w:eastAsia="zh-CN"/>
        </w:rPr>
      </w:pPr>
    </w:p>
    <w:p>
      <w:pPr>
        <w:spacing w:line="540" w:lineRule="exact"/>
        <w:ind w:firstLine="640" w:firstLineChars="200"/>
        <w:rPr>
          <w:rFonts w:hint="eastAsia" w:ascii="Times New Roman" w:hAnsi="Times New Roman" w:eastAsia="仿宋_GB2312" w:cs="Times New Roman"/>
          <w:sz w:val="32"/>
          <w:szCs w:val="32"/>
          <w:lang w:eastAsia="zh-CN"/>
        </w:rPr>
      </w:pPr>
    </w:p>
    <w:p>
      <w:pPr>
        <w:spacing w:line="540" w:lineRule="exact"/>
        <w:ind w:firstLine="640" w:firstLineChars="200"/>
        <w:rPr>
          <w:rFonts w:hint="eastAsia" w:ascii="Times New Roman" w:hAnsi="Times New Roman" w:eastAsia="仿宋_GB2312" w:cs="Times New Roman"/>
          <w:sz w:val="32"/>
          <w:szCs w:val="32"/>
          <w:lang w:eastAsia="zh-CN"/>
        </w:rPr>
      </w:pPr>
    </w:p>
    <w:p>
      <w:pPr>
        <w:spacing w:line="540" w:lineRule="exact"/>
        <w:ind w:firstLine="640" w:firstLineChars="200"/>
        <w:rPr>
          <w:rFonts w:hint="eastAsia" w:ascii="Times New Roman" w:hAnsi="Times New Roman" w:eastAsia="仿宋_GB2312" w:cs="Times New Roman"/>
          <w:sz w:val="32"/>
          <w:szCs w:val="32"/>
          <w:lang w:eastAsia="zh-CN"/>
        </w:rPr>
      </w:pPr>
    </w:p>
    <w:p>
      <w:pPr>
        <w:spacing w:line="540" w:lineRule="exact"/>
        <w:ind w:firstLine="640" w:firstLineChars="200"/>
        <w:rPr>
          <w:rFonts w:hint="eastAsia" w:ascii="Times New Roman" w:hAnsi="Times New Roman" w:eastAsia="仿宋_GB2312" w:cs="Times New Roman"/>
          <w:sz w:val="32"/>
          <w:szCs w:val="32"/>
          <w:lang w:eastAsia="zh-CN"/>
        </w:rPr>
      </w:pPr>
    </w:p>
    <w:p>
      <w:pPr>
        <w:spacing w:line="540" w:lineRule="exact"/>
        <w:ind w:firstLine="640" w:firstLineChars="200"/>
        <w:rPr>
          <w:rFonts w:hint="eastAsia" w:ascii="Times New Roman" w:hAnsi="Times New Roman" w:eastAsia="仿宋_GB2312" w:cs="Times New Roman"/>
          <w:sz w:val="32"/>
          <w:szCs w:val="32"/>
          <w:lang w:eastAsia="zh-CN"/>
        </w:rPr>
      </w:pPr>
    </w:p>
    <w:p>
      <w:pPr>
        <w:spacing w:line="540" w:lineRule="exact"/>
        <w:ind w:firstLine="640" w:firstLineChars="200"/>
        <w:rPr>
          <w:rFonts w:hint="eastAsia" w:ascii="Times New Roman" w:hAnsi="Times New Roman" w:eastAsia="仿宋_GB2312" w:cs="Times New Roman"/>
          <w:sz w:val="32"/>
          <w:szCs w:val="32"/>
          <w:lang w:eastAsia="zh-CN"/>
        </w:rPr>
      </w:pPr>
    </w:p>
    <w:p>
      <w:pPr>
        <w:spacing w:line="540" w:lineRule="exact"/>
        <w:ind w:firstLine="640" w:firstLineChars="200"/>
        <w:rPr>
          <w:rFonts w:hint="eastAsia" w:ascii="Times New Roman" w:hAnsi="Times New Roman" w:eastAsia="仿宋_GB2312" w:cs="Times New Roman"/>
          <w:sz w:val="32"/>
          <w:szCs w:val="32"/>
          <w:lang w:eastAsia="zh-CN"/>
        </w:rPr>
      </w:pPr>
    </w:p>
    <w:p>
      <w:pPr>
        <w:spacing w:line="540" w:lineRule="exact"/>
        <w:ind w:firstLine="640" w:firstLineChars="200"/>
        <w:rPr>
          <w:rFonts w:hint="eastAsia" w:ascii="Times New Roman" w:hAnsi="Times New Roman" w:eastAsia="仿宋_GB2312" w:cs="Times New Roman"/>
          <w:sz w:val="32"/>
          <w:szCs w:val="32"/>
          <w:lang w:eastAsia="zh-CN"/>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12E6F7"/>
    <w:multiLevelType w:val="singleLevel"/>
    <w:tmpl w:val="0212E6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zg3NmU3NGUyZTA1ZDZlNDM0ZjAzMTZhMzZiMmI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22461A6B"/>
    <w:rsid w:val="26294F47"/>
    <w:rsid w:val="3A2D3AF2"/>
    <w:rsid w:val="4C2E020A"/>
    <w:rsid w:val="4D2606A1"/>
    <w:rsid w:val="524B5D4C"/>
    <w:rsid w:val="52A26240"/>
    <w:rsid w:val="644D291F"/>
    <w:rsid w:val="6B64771E"/>
    <w:rsid w:val="6C502B77"/>
    <w:rsid w:val="7E9F6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7891</Words>
  <Characters>8267</Characters>
  <Lines>5</Lines>
  <Paragraphs>1</Paragraphs>
  <TotalTime>19</TotalTime>
  <ScaleCrop>false</ScaleCrop>
  <LinksUpToDate>false</LinksUpToDate>
  <CharactersWithSpaces>8611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2024-11-20T05:03:58Z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02C1D11846FB47D982813BA85AEED9C9</vt:lpwstr>
  </property>
</Properties>
</file>